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E6300" w14:textId="1AC9B87D" w:rsidR="00B44120" w:rsidRPr="008F64CF" w:rsidRDefault="008F64CF" w:rsidP="00262E9F">
      <w:pPr>
        <w:pStyle w:val="Ttulo"/>
        <w:rPr>
          <w:lang w:val="en-US"/>
        </w:rPr>
      </w:pPr>
      <w:r>
        <w:rPr>
          <w:lang w:val="en-US"/>
        </w:rPr>
        <w:t>65</w:t>
      </w:r>
      <w:r w:rsidR="00742F42" w:rsidRPr="008F64CF">
        <w:rPr>
          <w:lang w:val="en-US"/>
        </w:rPr>
        <w:t>,000 Portuguese emigrated in 202</w:t>
      </w:r>
      <w:r>
        <w:rPr>
          <w:lang w:val="en-US"/>
        </w:rPr>
        <w:t>4</w:t>
      </w:r>
    </w:p>
    <w:p w14:paraId="4778DEED" w14:textId="416F8447" w:rsidR="006868F3" w:rsidRPr="008F64CF" w:rsidRDefault="00B51479" w:rsidP="00262E9F">
      <w:pPr>
        <w:pStyle w:val="Data1"/>
        <w:rPr>
          <w:lang w:val="en-US"/>
        </w:rPr>
      </w:pPr>
      <w:r w:rsidRPr="008F64CF">
        <w:rPr>
          <w:lang w:val="en-US"/>
        </w:rPr>
        <w:t>20</w:t>
      </w:r>
      <w:r w:rsidR="00CB6A10" w:rsidRPr="008F64CF">
        <w:rPr>
          <w:lang w:val="en-US"/>
        </w:rPr>
        <w:t>2</w:t>
      </w:r>
      <w:r w:rsidR="00AC7271" w:rsidRPr="008F64CF">
        <w:rPr>
          <w:lang w:val="en-US"/>
        </w:rPr>
        <w:t>4</w:t>
      </w:r>
      <w:r w:rsidRPr="008F64CF">
        <w:rPr>
          <w:lang w:val="en-US"/>
        </w:rPr>
        <w:t>-</w:t>
      </w:r>
      <w:r w:rsidR="005106C1" w:rsidRPr="008F64CF">
        <w:rPr>
          <w:lang w:val="en-US"/>
        </w:rPr>
        <w:t>0</w:t>
      </w:r>
      <w:r w:rsidR="008E401E" w:rsidRPr="008F64CF">
        <w:rPr>
          <w:lang w:val="en-US"/>
        </w:rPr>
        <w:t>7</w:t>
      </w:r>
      <w:r w:rsidRPr="008F64CF">
        <w:rPr>
          <w:lang w:val="en-US"/>
        </w:rPr>
        <w:t>-</w:t>
      </w:r>
      <w:r w:rsidR="00CB48A3" w:rsidRPr="008F64CF">
        <w:rPr>
          <w:lang w:val="en-US"/>
        </w:rPr>
        <w:t>16</w:t>
      </w:r>
    </w:p>
    <w:p w14:paraId="030D0178" w14:textId="38BDD88B" w:rsidR="000E72C2" w:rsidRPr="00742F42" w:rsidRDefault="008F64CF" w:rsidP="000E72C2">
      <w:pPr>
        <w:rPr>
          <w:lang w:val="en-US"/>
        </w:rPr>
      </w:pPr>
      <w:r w:rsidRPr="008F64CF">
        <w:rPr>
          <w:lang w:val="en-US"/>
        </w:rPr>
        <w:t xml:space="preserve">The Emigration Observatory estimates that approximately 65,000 Portuguese emigrated in 2024, around five thousand fewer than in 2023. This confirms a recent trajectory of </w:t>
      </w:r>
      <w:proofErr w:type="spellStart"/>
      <w:r w:rsidRPr="008F64CF">
        <w:rPr>
          <w:lang w:val="en-US"/>
        </w:rPr>
        <w:t>stabilisation</w:t>
      </w:r>
      <w:proofErr w:type="spellEnd"/>
      <w:r w:rsidRPr="008F64CF">
        <w:rPr>
          <w:lang w:val="en-US"/>
        </w:rPr>
        <w:t xml:space="preserve"> in emigration flows, despite a slight deceleration, at levels close to those recorded in the first decade of the twenty-first century.</w:t>
      </w:r>
      <w:r w:rsidR="000E72C2" w:rsidRPr="00742F42">
        <w:rPr>
          <w:lang w:val="en-US"/>
        </w:rPr>
        <w:t xml:space="preserve"> +</w:t>
      </w:r>
    </w:p>
    <w:p w14:paraId="24FE0421" w14:textId="189F0365" w:rsidR="00C9693B" w:rsidRPr="00742F42" w:rsidRDefault="008F64CF" w:rsidP="000E72C2">
      <w:pPr>
        <w:rPr>
          <w:lang w:val="en-US"/>
        </w:rPr>
      </w:pPr>
      <w:r w:rsidRPr="008F64CF">
        <w:rPr>
          <w:lang w:val="en-US"/>
        </w:rPr>
        <w:t>The modest decline observed in 2024 is primarily attributable to the recessive effects of Brexit on Portuguese emigration to the United Kingdom, which decreased by 37% between 2023 and 2024. This flow, now very limited</w:t>
      </w:r>
      <w:r>
        <w:rPr>
          <w:lang w:val="en-US"/>
        </w:rPr>
        <w:t xml:space="preserve"> – </w:t>
      </w:r>
      <w:r w:rsidRPr="008F64CF">
        <w:rPr>
          <w:lang w:val="en-US"/>
        </w:rPr>
        <w:t>having fallen from over 32,000 in 2015 to fewer than 3,000 in 2024</w:t>
      </w:r>
      <w:r>
        <w:rPr>
          <w:lang w:val="en-US"/>
        </w:rPr>
        <w:t xml:space="preserve"> – </w:t>
      </w:r>
      <w:r w:rsidRPr="008F64CF">
        <w:rPr>
          <w:lang w:val="en-US"/>
        </w:rPr>
        <w:t xml:space="preserve">is unlikely to continue to exert a significant influence on the overall evolution of Portuguese emigration in the coming years. Consequently, total emigration is expected to </w:t>
      </w:r>
      <w:proofErr w:type="spellStart"/>
      <w:r w:rsidRPr="008F64CF">
        <w:rPr>
          <w:lang w:val="en-US"/>
        </w:rPr>
        <w:t>stabilise</w:t>
      </w:r>
      <w:proofErr w:type="spellEnd"/>
      <w:r w:rsidRPr="008F64CF">
        <w:rPr>
          <w:lang w:val="en-US"/>
        </w:rPr>
        <w:t xml:space="preserve"> at levels close to current figures, between 60,000 and 65,000 per year. In 2024, Switzerland (12,388 entries) and Spain (11,332) remained the main destinations for Portuguese emigration. France is likely to have been the third main destination, although data for 2024 are not yet available (in 2023, 7,426 Portuguese entered the country). Among the remaining destinations, Germany (7,410 entries), Belgium (5,471), the Netherlands (4,795) and Luxembourg (3,469) also merit mention.</w:t>
      </w:r>
      <w:r w:rsidR="00742F42" w:rsidRPr="00742F42">
        <w:rPr>
          <w:lang w:val="en-US"/>
        </w:rPr>
        <w:t xml:space="preserve"> </w:t>
      </w:r>
      <w:r w:rsidR="00CB48A3" w:rsidRPr="00742F42">
        <w:rPr>
          <w:lang w:val="en-US"/>
        </w:rPr>
        <w:t xml:space="preserve"> </w:t>
      </w:r>
      <w:r w:rsidR="00C9693B" w:rsidRPr="00742F42">
        <w:rPr>
          <w:noProof/>
          <w:lang w:val="en-US"/>
        </w:rPr>
        <w:t xml:space="preserve"> </w:t>
      </w:r>
    </w:p>
    <w:p w14:paraId="227B8F9A" w14:textId="57886F34" w:rsidR="006868F3" w:rsidRDefault="008F64CF" w:rsidP="008F64CF">
      <w:pPr>
        <w:pStyle w:val="Autor"/>
      </w:pPr>
      <w:r>
        <w:rPr>
          <w:noProof/>
        </w:rPr>
        <w:drawing>
          <wp:anchor distT="71755" distB="71755" distL="114300" distR="114300" simplePos="0" relativeHeight="251658240" behindDoc="0" locked="0" layoutInCell="1" allowOverlap="1" wp14:anchorId="5623F239" wp14:editId="523E1826">
            <wp:simplePos x="1076325" y="2638425"/>
            <wp:positionH relativeFrom="margin">
              <wp:align>left</wp:align>
            </wp:positionH>
            <wp:positionV relativeFrom="paragraph">
              <wp:posOffset>71755</wp:posOffset>
            </wp:positionV>
            <wp:extent cx="5400000" cy="3240000"/>
            <wp:effectExtent l="0" t="0" r="0" b="0"/>
            <wp:wrapTopAndBottom/>
            <wp:docPr id="1256572840" name="Gráfico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r w:rsidRPr="004B330A">
        <w:t xml:space="preserve"> </w:t>
      </w:r>
      <w:r w:rsidR="006868F3" w:rsidRPr="004B330A">
        <w:t>[</w:t>
      </w:r>
      <w:proofErr w:type="spellStart"/>
      <w:r w:rsidR="00D22B37">
        <w:t>by</w:t>
      </w:r>
      <w:proofErr w:type="spellEnd"/>
      <w:r w:rsidR="006868F3" w:rsidRPr="004B330A">
        <w:t xml:space="preserve"> Inês Vidigal]</w:t>
      </w:r>
    </w:p>
    <w:p w14:paraId="7940CAC1" w14:textId="4E1548B2" w:rsidR="005106C1" w:rsidRDefault="00D22B37" w:rsidP="00262E9F">
      <w:pPr>
        <w:pStyle w:val="Comocitar"/>
      </w:pPr>
      <w:r>
        <w:rPr>
          <w:b/>
        </w:rPr>
        <w:t>Cite as</w:t>
      </w:r>
      <w:r w:rsidR="006868F3">
        <w:t> </w:t>
      </w:r>
      <w:r w:rsidR="00512B15">
        <w:t>Vidigal, Inês (20</w:t>
      </w:r>
      <w:r w:rsidR="001B21BE">
        <w:t>2</w:t>
      </w:r>
      <w:r w:rsidR="008F64CF">
        <w:t>5</w:t>
      </w:r>
      <w:r w:rsidR="008E401E">
        <w:t>)</w:t>
      </w:r>
      <w:r w:rsidR="00512B15">
        <w:t>, “</w:t>
      </w:r>
      <w:r w:rsidR="008F64CF" w:rsidRPr="008F64CF">
        <w:t xml:space="preserve">65,000 Portuguese </w:t>
      </w:r>
      <w:proofErr w:type="spellStart"/>
      <w:r w:rsidR="008F64CF" w:rsidRPr="008F64CF">
        <w:t>emigrated</w:t>
      </w:r>
      <w:proofErr w:type="spellEnd"/>
      <w:r w:rsidR="008F64CF" w:rsidRPr="008F64CF">
        <w:t xml:space="preserve"> in 2024</w:t>
      </w:r>
      <w:r w:rsidR="00512B15">
        <w:t>”</w:t>
      </w:r>
      <w:r w:rsidR="006868F3">
        <w:t xml:space="preserve">, </w:t>
      </w:r>
      <w:r w:rsidR="00262E9F">
        <w:rPr>
          <w:i/>
        </w:rPr>
        <w:t>Observatório </w:t>
      </w:r>
      <w:r w:rsidR="006868F3" w:rsidRPr="00213EB3">
        <w:rPr>
          <w:i/>
        </w:rPr>
        <w:t>da</w:t>
      </w:r>
      <w:r w:rsidR="00262E9F">
        <w:rPr>
          <w:i/>
        </w:rPr>
        <w:t> </w:t>
      </w:r>
      <w:r w:rsidR="006868F3" w:rsidRPr="00213EB3">
        <w:rPr>
          <w:i/>
        </w:rPr>
        <w:t>Emigração</w:t>
      </w:r>
      <w:r w:rsidR="006868F3">
        <w:t xml:space="preserve">. </w:t>
      </w:r>
      <w:hyperlink r:id="rId7" w:history="1">
        <w:r w:rsidR="008F64CF">
          <w:rPr>
            <w:rStyle w:val="Hiperligao"/>
          </w:rPr>
          <w:t>http://observatorioemigracao.pt/np4EN/10584.html</w:t>
        </w:r>
      </w:hyperlink>
    </w:p>
    <w:sectPr w:rsidR="005106C1" w:rsidSect="009759DA">
      <w:headerReference w:type="default" r:id="rId8"/>
      <w:pgSz w:w="11906" w:h="16838" w:code="9"/>
      <w:pgMar w:top="1985" w:right="1701" w:bottom="1418" w:left="1701"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01C5A" w14:textId="77777777" w:rsidR="00EC25ED" w:rsidRDefault="00EC25ED">
      <w:pPr>
        <w:spacing w:after="0" w:line="240" w:lineRule="auto"/>
      </w:pPr>
      <w:r>
        <w:separator/>
      </w:r>
    </w:p>
  </w:endnote>
  <w:endnote w:type="continuationSeparator" w:id="0">
    <w:p w14:paraId="21EA6A01" w14:textId="77777777" w:rsidR="00EC25ED" w:rsidRDefault="00EC2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DBEFE" w14:textId="77777777" w:rsidR="00EC25ED" w:rsidRDefault="00EC25ED">
      <w:pPr>
        <w:spacing w:after="0" w:line="240" w:lineRule="auto"/>
      </w:pPr>
      <w:r>
        <w:separator/>
      </w:r>
    </w:p>
  </w:footnote>
  <w:footnote w:type="continuationSeparator" w:id="0">
    <w:p w14:paraId="7A9F5508" w14:textId="77777777" w:rsidR="00EC25ED" w:rsidRDefault="00EC2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5D7EF" w14:textId="77777777" w:rsidR="009759DA" w:rsidRDefault="009759DA" w:rsidP="009759DA">
    <w:pPr>
      <w:pStyle w:val="Cabealho"/>
      <w:tabs>
        <w:tab w:val="clear" w:pos="4252"/>
        <w:tab w:val="clear" w:pos="8504"/>
        <w:tab w:val="left" w:pos="1134"/>
      </w:tabs>
    </w:pPr>
    <w:proofErr w:type="spellStart"/>
    <w:proofErr w:type="gramStart"/>
    <w:r w:rsidRPr="00CF3682">
      <w:rPr>
        <w:rFonts w:ascii="Arial" w:hAnsi="Arial" w:cs="Arial"/>
        <w:b/>
        <w:color w:val="C00000"/>
        <w:sz w:val="28"/>
        <w:szCs w:val="28"/>
      </w:rPr>
      <w:t>OEm</w:t>
    </w:r>
    <w:proofErr w:type="spellEnd"/>
    <w:r>
      <w:rPr>
        <w:rFonts w:ascii="Arial" w:hAnsi="Arial" w:cs="Arial"/>
        <w:b/>
        <w:color w:val="C00000"/>
        <w:sz w:val="28"/>
        <w:szCs w:val="28"/>
      </w:rPr>
      <w:t xml:space="preserve">  </w:t>
    </w:r>
    <w:r w:rsidRPr="00011369">
      <w:rPr>
        <w:b/>
        <w:position w:val="2"/>
      </w:rPr>
      <w:t>Observatório</w:t>
    </w:r>
    <w:proofErr w:type="gramEnd"/>
    <w:r w:rsidRPr="00011369">
      <w:rPr>
        <w:b/>
        <w:position w:val="2"/>
      </w:rPr>
      <w:t xml:space="preserve"> da Emigração</w:t>
    </w:r>
    <w:r>
      <w:br/>
      <w:t>www.observatorioemigracao.pt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496"/>
    <w:rsid w:val="0003438F"/>
    <w:rsid w:val="000477BF"/>
    <w:rsid w:val="00064468"/>
    <w:rsid w:val="00090FCB"/>
    <w:rsid w:val="00093CCB"/>
    <w:rsid w:val="000B434F"/>
    <w:rsid w:val="000D3AC9"/>
    <w:rsid w:val="000E533C"/>
    <w:rsid w:val="000E72C2"/>
    <w:rsid w:val="001171E6"/>
    <w:rsid w:val="00162FC1"/>
    <w:rsid w:val="0017465C"/>
    <w:rsid w:val="00182CAE"/>
    <w:rsid w:val="001876D7"/>
    <w:rsid w:val="001A0203"/>
    <w:rsid w:val="001B21BE"/>
    <w:rsid w:val="00262E9F"/>
    <w:rsid w:val="00281669"/>
    <w:rsid w:val="00281691"/>
    <w:rsid w:val="00281F62"/>
    <w:rsid w:val="002A31D3"/>
    <w:rsid w:val="00322668"/>
    <w:rsid w:val="00347151"/>
    <w:rsid w:val="00355BD9"/>
    <w:rsid w:val="003714C7"/>
    <w:rsid w:val="00371DE2"/>
    <w:rsid w:val="00381978"/>
    <w:rsid w:val="00382DC3"/>
    <w:rsid w:val="00402350"/>
    <w:rsid w:val="0048767F"/>
    <w:rsid w:val="00495846"/>
    <w:rsid w:val="00497D05"/>
    <w:rsid w:val="004A43C1"/>
    <w:rsid w:val="004B77AD"/>
    <w:rsid w:val="004D4849"/>
    <w:rsid w:val="004D4A31"/>
    <w:rsid w:val="004E1909"/>
    <w:rsid w:val="005106C1"/>
    <w:rsid w:val="00512B15"/>
    <w:rsid w:val="005212DD"/>
    <w:rsid w:val="00530704"/>
    <w:rsid w:val="00547A2C"/>
    <w:rsid w:val="00555970"/>
    <w:rsid w:val="005A4467"/>
    <w:rsid w:val="005C6CD2"/>
    <w:rsid w:val="005C76A9"/>
    <w:rsid w:val="005E326C"/>
    <w:rsid w:val="005E3E39"/>
    <w:rsid w:val="00647D2B"/>
    <w:rsid w:val="006819EC"/>
    <w:rsid w:val="006868F3"/>
    <w:rsid w:val="006C5354"/>
    <w:rsid w:val="007106E3"/>
    <w:rsid w:val="00742F42"/>
    <w:rsid w:val="00763496"/>
    <w:rsid w:val="0077509F"/>
    <w:rsid w:val="00784B91"/>
    <w:rsid w:val="007865CA"/>
    <w:rsid w:val="007909F5"/>
    <w:rsid w:val="007C665C"/>
    <w:rsid w:val="007D2C9C"/>
    <w:rsid w:val="00850A25"/>
    <w:rsid w:val="0088292E"/>
    <w:rsid w:val="00895808"/>
    <w:rsid w:val="008A7311"/>
    <w:rsid w:val="008D5430"/>
    <w:rsid w:val="008E401E"/>
    <w:rsid w:val="008F64CF"/>
    <w:rsid w:val="00946F1A"/>
    <w:rsid w:val="0095064A"/>
    <w:rsid w:val="009759DA"/>
    <w:rsid w:val="00981058"/>
    <w:rsid w:val="00981DF6"/>
    <w:rsid w:val="009A0384"/>
    <w:rsid w:val="009C5C6D"/>
    <w:rsid w:val="009F5E4A"/>
    <w:rsid w:val="00A10CA6"/>
    <w:rsid w:val="00A17955"/>
    <w:rsid w:val="00A23820"/>
    <w:rsid w:val="00A44CF4"/>
    <w:rsid w:val="00A979E0"/>
    <w:rsid w:val="00AA7AC0"/>
    <w:rsid w:val="00AC20FB"/>
    <w:rsid w:val="00AC7271"/>
    <w:rsid w:val="00AE502C"/>
    <w:rsid w:val="00B11E21"/>
    <w:rsid w:val="00B44120"/>
    <w:rsid w:val="00B51479"/>
    <w:rsid w:val="00B6492C"/>
    <w:rsid w:val="00B71244"/>
    <w:rsid w:val="00B879F1"/>
    <w:rsid w:val="00BE7DBD"/>
    <w:rsid w:val="00C0016A"/>
    <w:rsid w:val="00C04607"/>
    <w:rsid w:val="00C32F12"/>
    <w:rsid w:val="00C9693B"/>
    <w:rsid w:val="00CB48A3"/>
    <w:rsid w:val="00CB6A10"/>
    <w:rsid w:val="00CC4176"/>
    <w:rsid w:val="00CD0602"/>
    <w:rsid w:val="00D22B37"/>
    <w:rsid w:val="00D36CAA"/>
    <w:rsid w:val="00D56DE6"/>
    <w:rsid w:val="00D74D99"/>
    <w:rsid w:val="00DE0EB9"/>
    <w:rsid w:val="00DE2FA8"/>
    <w:rsid w:val="00E3778E"/>
    <w:rsid w:val="00E9799C"/>
    <w:rsid w:val="00EA2F4D"/>
    <w:rsid w:val="00EA73A1"/>
    <w:rsid w:val="00EC25ED"/>
    <w:rsid w:val="00EE06E7"/>
    <w:rsid w:val="00F039C3"/>
    <w:rsid w:val="00F16697"/>
    <w:rsid w:val="00F2089E"/>
    <w:rsid w:val="00F37E44"/>
    <w:rsid w:val="00F57C27"/>
    <w:rsid w:val="00F72089"/>
    <w:rsid w:val="00F7289C"/>
    <w:rsid w:val="00F81B1A"/>
    <w:rsid w:val="00FA5EC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ED6B0"/>
  <w15:docId w15:val="{40D45054-8CE9-4905-A3BB-417C7724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058"/>
    <w:pPr>
      <w:spacing w:after="120" w:line="360" w:lineRule="exact"/>
    </w:pPr>
    <w:rPr>
      <w:sz w:val="22"/>
      <w:szCs w:val="22"/>
      <w:lang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6868F3"/>
    <w:pPr>
      <w:tabs>
        <w:tab w:val="center" w:pos="4252"/>
        <w:tab w:val="right" w:pos="8504"/>
      </w:tabs>
      <w:spacing w:after="0" w:line="240" w:lineRule="auto"/>
    </w:pPr>
    <w:rPr>
      <w:sz w:val="16"/>
    </w:rPr>
  </w:style>
  <w:style w:type="character" w:customStyle="1" w:styleId="CabealhoCarter">
    <w:name w:val="Cabeçalho Caráter"/>
    <w:link w:val="Cabealho"/>
    <w:uiPriority w:val="99"/>
    <w:rsid w:val="006868F3"/>
    <w:rPr>
      <w:sz w:val="16"/>
      <w:szCs w:val="22"/>
      <w:lang w:eastAsia="en-US"/>
    </w:rPr>
  </w:style>
  <w:style w:type="paragraph" w:styleId="Ttulo">
    <w:name w:val="Title"/>
    <w:basedOn w:val="Normal"/>
    <w:next w:val="Normal"/>
    <w:link w:val="TtuloCarter"/>
    <w:uiPriority w:val="10"/>
    <w:qFormat/>
    <w:rsid w:val="006868F3"/>
    <w:pPr>
      <w:spacing w:line="400" w:lineRule="exact"/>
      <w:contextualSpacing/>
    </w:pPr>
    <w:rPr>
      <w:rFonts w:ascii="Arial" w:eastAsia="Times New Roman" w:hAnsi="Arial"/>
      <w:spacing w:val="5"/>
      <w:kern w:val="28"/>
      <w:sz w:val="28"/>
      <w:szCs w:val="52"/>
    </w:rPr>
  </w:style>
  <w:style w:type="character" w:customStyle="1" w:styleId="TtuloCarter">
    <w:name w:val="Título Caráter"/>
    <w:link w:val="Ttulo"/>
    <w:uiPriority w:val="10"/>
    <w:rsid w:val="006868F3"/>
    <w:rPr>
      <w:rFonts w:ascii="Arial" w:eastAsia="Times New Roman" w:hAnsi="Arial"/>
      <w:spacing w:val="5"/>
      <w:kern w:val="28"/>
      <w:sz w:val="28"/>
      <w:szCs w:val="52"/>
      <w:lang w:eastAsia="en-US"/>
    </w:rPr>
  </w:style>
  <w:style w:type="paragraph" w:customStyle="1" w:styleId="Data1">
    <w:name w:val="Data1"/>
    <w:basedOn w:val="Normal"/>
    <w:qFormat/>
    <w:rsid w:val="006868F3"/>
    <w:pPr>
      <w:spacing w:after="360" w:line="240" w:lineRule="auto"/>
    </w:pPr>
    <w:rPr>
      <w:color w:val="C00000"/>
      <w:sz w:val="18"/>
    </w:rPr>
  </w:style>
  <w:style w:type="character" w:styleId="Hiperligao">
    <w:name w:val="Hyperlink"/>
    <w:uiPriority w:val="99"/>
    <w:unhideWhenUsed/>
    <w:rsid w:val="006868F3"/>
    <w:rPr>
      <w:color w:val="auto"/>
      <w:u w:val="single"/>
    </w:rPr>
  </w:style>
  <w:style w:type="paragraph" w:customStyle="1" w:styleId="Autor">
    <w:name w:val="Autor"/>
    <w:basedOn w:val="Normal"/>
    <w:qFormat/>
    <w:rsid w:val="006868F3"/>
    <w:pPr>
      <w:spacing w:before="360"/>
    </w:pPr>
    <w:rPr>
      <w:b/>
      <w:color w:val="C00000"/>
      <w:sz w:val="18"/>
    </w:rPr>
  </w:style>
  <w:style w:type="paragraph" w:customStyle="1" w:styleId="Comocitar">
    <w:name w:val="Como citar"/>
    <w:basedOn w:val="Normal"/>
    <w:qFormat/>
    <w:rsid w:val="006868F3"/>
    <w:pPr>
      <w:spacing w:after="0" w:line="240" w:lineRule="exact"/>
      <w:ind w:right="567"/>
    </w:pPr>
    <w:rPr>
      <w:sz w:val="18"/>
    </w:rPr>
  </w:style>
  <w:style w:type="character" w:customStyle="1" w:styleId="MenoNoResolvida1">
    <w:name w:val="Menção Não Resolvida1"/>
    <w:basedOn w:val="Tipodeletrapredefinidodopargrafo"/>
    <w:uiPriority w:val="99"/>
    <w:semiHidden/>
    <w:unhideWhenUsed/>
    <w:rsid w:val="00D56DE6"/>
    <w:rPr>
      <w:color w:val="808080"/>
      <w:shd w:val="clear" w:color="auto" w:fill="E6E6E6"/>
    </w:rPr>
  </w:style>
  <w:style w:type="character" w:styleId="Hiperligaovisitada">
    <w:name w:val="FollowedHyperlink"/>
    <w:basedOn w:val="Tipodeletrapredefinidodopargrafo"/>
    <w:uiPriority w:val="99"/>
    <w:semiHidden/>
    <w:unhideWhenUsed/>
    <w:rsid w:val="00B44120"/>
    <w:rPr>
      <w:color w:val="954F72" w:themeColor="followedHyperlink"/>
      <w:u w:val="single"/>
    </w:rPr>
  </w:style>
  <w:style w:type="character" w:styleId="MenoNoResolvida">
    <w:name w:val="Unresolved Mention"/>
    <w:basedOn w:val="Tipodeletrapredefinidodopargrafo"/>
    <w:uiPriority w:val="99"/>
    <w:semiHidden/>
    <w:unhideWhenUsed/>
    <w:rsid w:val="000E72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observatorioemigracao.pt/np4EN/10584.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In&#234;s%20Vidigal\Desktop\OEm\Teletrabalho\Destaques\2025\OEm_Highlight2025_12_18_Estimat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l">
              <a:defRPr sz="1000" b="1"/>
            </a:pPr>
            <a:r>
              <a:rPr lang="pt-PT" sz="1000" b="1" i="0" u="none" strike="noStrike" baseline="0">
                <a:effectLst/>
              </a:rPr>
              <a:t>Estimated total outflow of Portuguese emigrants, 2001-2024</a:t>
            </a:r>
            <a:endParaRPr lang="pt-PT" sz="1000" b="1"/>
          </a:p>
        </c:rich>
      </c:tx>
      <c:layout>
        <c:manualLayout>
          <c:xMode val="edge"/>
          <c:yMode val="edge"/>
          <c:x val="7.9665185185185186E-2"/>
          <c:y val="2.3518518518518518E-2"/>
        </c:manualLayout>
      </c:layout>
      <c:overlay val="0"/>
    </c:title>
    <c:autoTitleDeleted val="0"/>
    <c:plotArea>
      <c:layout/>
      <c:lineChart>
        <c:grouping val="standard"/>
        <c:varyColors val="0"/>
        <c:ser>
          <c:idx val="2"/>
          <c:order val="0"/>
          <c:tx>
            <c:v>Entradas</c:v>
          </c:tx>
          <c:spPr>
            <a:ln w="12700">
              <a:solidFill>
                <a:srgbClr val="FF0000"/>
              </a:solidFill>
            </a:ln>
          </c:spPr>
          <c:marker>
            <c:symbol val="diamond"/>
            <c:size val="5"/>
            <c:spPr>
              <a:solidFill>
                <a:srgbClr val="FF0000"/>
              </a:solidFill>
              <a:ln>
                <a:solidFill>
                  <a:srgbClr val="FF0000"/>
                </a:solidFill>
              </a:ln>
            </c:spPr>
          </c:marker>
          <c:cat>
            <c:numRef>
              <c:f>'[OEm_Highlight2025_12_18_Estimates.xlsx]Estimates2000-2024'!$B$6:$B$29</c:f>
              <c:numCache>
                <c:formatCode>0</c:formatCode>
                <c:ptCount val="24"/>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pt idx="23">
                  <c:v>2024</c:v>
                </c:pt>
              </c:numCache>
            </c:numRef>
          </c:cat>
          <c:val>
            <c:numRef>
              <c:f>'[OEm_Highlight2025_12_18_Estimates.xlsx]Estimates2000-2024'!$F$6:$F$29</c:f>
              <c:numCache>
                <c:formatCode>#,##0</c:formatCode>
                <c:ptCount val="24"/>
                <c:pt idx="0">
                  <c:v>40000</c:v>
                </c:pt>
                <c:pt idx="1">
                  <c:v>50000</c:v>
                </c:pt>
                <c:pt idx="2">
                  <c:v>60000</c:v>
                </c:pt>
                <c:pt idx="3">
                  <c:v>70000</c:v>
                </c:pt>
                <c:pt idx="4">
                  <c:v>65000</c:v>
                </c:pt>
                <c:pt idx="5">
                  <c:v>75000</c:v>
                </c:pt>
                <c:pt idx="6">
                  <c:v>85000</c:v>
                </c:pt>
                <c:pt idx="7">
                  <c:v>85000</c:v>
                </c:pt>
                <c:pt idx="8">
                  <c:v>70000</c:v>
                </c:pt>
                <c:pt idx="9">
                  <c:v>65000</c:v>
                </c:pt>
                <c:pt idx="10">
                  <c:v>85000</c:v>
                </c:pt>
                <c:pt idx="11">
                  <c:v>105000</c:v>
                </c:pt>
                <c:pt idx="12">
                  <c:v>120000</c:v>
                </c:pt>
                <c:pt idx="13">
                  <c:v>110000</c:v>
                </c:pt>
                <c:pt idx="14">
                  <c:v>105000</c:v>
                </c:pt>
                <c:pt idx="15">
                  <c:v>95000</c:v>
                </c:pt>
                <c:pt idx="16">
                  <c:v>80000</c:v>
                </c:pt>
                <c:pt idx="17">
                  <c:v>75000</c:v>
                </c:pt>
                <c:pt idx="18">
                  <c:v>80000</c:v>
                </c:pt>
                <c:pt idx="19">
                  <c:v>45000</c:v>
                </c:pt>
                <c:pt idx="20">
                  <c:v>65000</c:v>
                </c:pt>
                <c:pt idx="21">
                  <c:v>70000</c:v>
                </c:pt>
                <c:pt idx="22">
                  <c:v>70000</c:v>
                </c:pt>
                <c:pt idx="23">
                  <c:v>65000</c:v>
                </c:pt>
              </c:numCache>
            </c:numRef>
          </c:val>
          <c:smooth val="0"/>
          <c:extLst>
            <c:ext xmlns:c16="http://schemas.microsoft.com/office/drawing/2014/chart" uri="{C3380CC4-5D6E-409C-BE32-E72D297353CC}">
              <c16:uniqueId val="{00000000-07AC-43B9-B416-D64A0FFE68CA}"/>
            </c:ext>
          </c:extLst>
        </c:ser>
        <c:dLbls>
          <c:showLegendKey val="0"/>
          <c:showVal val="0"/>
          <c:showCatName val="0"/>
          <c:showSerName val="0"/>
          <c:showPercent val="0"/>
          <c:showBubbleSize val="0"/>
        </c:dLbls>
        <c:marker val="1"/>
        <c:smooth val="0"/>
        <c:axId val="627937280"/>
        <c:axId val="607254720"/>
      </c:lineChart>
      <c:catAx>
        <c:axId val="627937280"/>
        <c:scaling>
          <c:orientation val="minMax"/>
        </c:scaling>
        <c:delete val="0"/>
        <c:axPos val="b"/>
        <c:title>
          <c:tx>
            <c:rich>
              <a:bodyPr/>
              <a:lstStyle/>
              <a:p>
                <a:pPr algn="l">
                  <a:defRPr sz="700" b="0"/>
                </a:pPr>
                <a:r>
                  <a:rPr lang="pt-PT" sz="700" b="1" i="0" u="none" strike="noStrike" baseline="0">
                    <a:effectLst/>
                  </a:rPr>
                  <a:t>Source</a:t>
                </a:r>
                <a:r>
                  <a:rPr lang="pt-PT" sz="700" b="0" i="0" u="none" strike="noStrike" baseline="0">
                    <a:effectLst/>
                  </a:rPr>
                  <a:t>  Graph produced by the Emigration Observatory, figures from the Emigration Observatory.</a:t>
                </a:r>
                <a:endParaRPr lang="pt-PT" sz="700" b="0"/>
              </a:p>
            </c:rich>
          </c:tx>
          <c:layout>
            <c:manualLayout>
              <c:xMode val="edge"/>
              <c:yMode val="edge"/>
              <c:x val="7.9560370370370365E-2"/>
              <c:y val="0.93689197530864199"/>
            </c:manualLayout>
          </c:layout>
          <c:overlay val="0"/>
        </c:title>
        <c:numFmt formatCode="0" sourceLinked="1"/>
        <c:majorTickMark val="none"/>
        <c:minorTickMark val="none"/>
        <c:tickLblPos val="nextTo"/>
        <c:spPr>
          <a:ln w="12700"/>
        </c:spPr>
        <c:txPr>
          <a:bodyPr rot="-5400000" vert="horz"/>
          <a:lstStyle/>
          <a:p>
            <a:pPr>
              <a:defRPr sz="800" baseline="0"/>
            </a:pPr>
            <a:endParaRPr lang="pt-PT"/>
          </a:p>
        </c:txPr>
        <c:crossAx val="607254720"/>
        <c:crosses val="autoZero"/>
        <c:auto val="1"/>
        <c:lblAlgn val="ctr"/>
        <c:lblOffset val="100"/>
        <c:noMultiLvlLbl val="0"/>
      </c:catAx>
      <c:valAx>
        <c:axId val="607254720"/>
        <c:scaling>
          <c:orientation val="minMax"/>
        </c:scaling>
        <c:delete val="0"/>
        <c:axPos val="l"/>
        <c:majorGridlines>
          <c:spPr>
            <a:ln w="12700">
              <a:solidFill>
                <a:schemeClr val="bg2"/>
              </a:solidFill>
            </a:ln>
          </c:spPr>
        </c:majorGridlines>
        <c:numFmt formatCode="#,##0" sourceLinked="1"/>
        <c:majorTickMark val="out"/>
        <c:minorTickMark val="none"/>
        <c:tickLblPos val="nextTo"/>
        <c:spPr>
          <a:ln>
            <a:noFill/>
          </a:ln>
        </c:spPr>
        <c:crossAx val="627937280"/>
        <c:crosses val="autoZero"/>
        <c:crossBetween val="between"/>
      </c:valAx>
      <c:spPr>
        <a:noFill/>
        <a:ln>
          <a:noFill/>
        </a:ln>
      </c:spPr>
    </c:plotArea>
    <c:plotVisOnly val="1"/>
    <c:dispBlanksAs val="gap"/>
    <c:showDLblsOverMax val="0"/>
  </c:chart>
  <c:spPr>
    <a:noFill/>
    <a:ln>
      <a:noFill/>
    </a:ln>
  </c:spPr>
  <c:txPr>
    <a:bodyPr/>
    <a:lstStyle/>
    <a:p>
      <a:pPr>
        <a:defRPr sz="800" baseline="0">
          <a:latin typeface="Arial" panose="020B0604020202020204" pitchFamily="34" charset="0"/>
        </a:defRPr>
      </a:pPr>
      <a:endParaRPr lang="pt-PT"/>
    </a:p>
  </c:txPr>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245</Words>
  <Characters>1312</Characters>
  <Application>Microsoft Office Word</Application>
  <DocSecurity>0</DocSecurity>
  <Lines>41</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1526</CharactersWithSpaces>
  <SharedDoc>false</SharedDoc>
  <HLinks>
    <vt:vector size="6" baseType="variant">
      <vt:variant>
        <vt:i4>6684779</vt:i4>
      </vt:variant>
      <vt:variant>
        <vt:i4>0</vt:i4>
      </vt:variant>
      <vt:variant>
        <vt:i4>0</vt:i4>
      </vt:variant>
      <vt:variant>
        <vt:i4>5</vt:i4>
      </vt:variant>
      <vt:variant>
        <vt:lpwstr>https://www.dhs.gov/yearbook-immigration-statistics-2014-lawful-permanent-residents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Elsa Andrade</dc:creator>
  <cp:lastModifiedBy>Inês Vidigal</cp:lastModifiedBy>
  <cp:revision>5</cp:revision>
  <cp:lastPrinted>2022-07-29T08:54:00Z</cp:lastPrinted>
  <dcterms:created xsi:type="dcterms:W3CDTF">2024-07-12T16:15:00Z</dcterms:created>
  <dcterms:modified xsi:type="dcterms:W3CDTF">2025-12-15T12:46:00Z</dcterms:modified>
</cp:coreProperties>
</file>